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Avesta kommunfullmäktige</w:t>
      </w:r>
    </w:p>
    <w:p>
      <w:pPr>
        <w:pStyle w:val="Heading1"/>
      </w:pPr>
      <w:r>
        <w:t xml:space="preserve">Öka antalet lärare och specialpedagoger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Avesta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Elevstödet i Avestas skolor är otillräckligt enligt Skolinspektionens tillsyn 2024. Fler specialpedagoger och lärare behövs för att ge alla elever likvärdiga förutsättningar.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Avesta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utbildningsnämnden får i uppdrag att anställa minst 8 nya specialpedagoger och legitimerade lärare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plan för minskade elevgrupper i de lägre årskurserna tas fram.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kompetensutveckling i specialpedagogik prioriteras.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effekten på skolresultaten följs upp årligen.</w:t>
      </w:r>
    </w:p>
    <w:p>
      <w:pPr>
        <w:spacing w:before="360"/>
      </w:pPr>
    </w:p>
    <w:p>
      <w:r>
        <w:t xml:space="preserve">Avesta,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Avesta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2026-07-13T23:37:31.884Z</dcterms:created>
  <dcterms:modified xsi:type="dcterms:W3CDTF">2026-07-13T23:37:31.884Z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